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附件2-1</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44"/>
          <w:szCs w:val="44"/>
          <w:lang w:val="en-US" w:eastAsia="zh-CN"/>
        </w:rPr>
        <w:t>第三轮省级生态环境保护督察第四十一项整改任务完成情况表</w:t>
      </w:r>
    </w:p>
    <w:p>
      <w:pPr>
        <w:jc w:val="center"/>
        <w:rPr>
          <w:rFonts w:hint="eastAsia" w:ascii="方正小标宋简体" w:hAnsi="方正小标宋简体" w:eastAsia="方正小标宋简体" w:cs="方正小标宋简体"/>
          <w:sz w:val="32"/>
          <w:szCs w:val="32"/>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6"/>
        <w:gridCol w:w="6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2356" w:type="dxa"/>
            <w:noWrap w:val="0"/>
            <w:vAlign w:val="center"/>
          </w:tcPr>
          <w:p>
            <w:pPr>
              <w:jc w:val="center"/>
              <w:rPr>
                <w:rFonts w:hint="default" w:eastAsia="宋体"/>
                <w:sz w:val="28"/>
                <w:szCs w:val="28"/>
                <w:vertAlign w:val="baseline"/>
                <w:lang w:val="en-US" w:eastAsia="zh-CN"/>
              </w:rPr>
            </w:pPr>
            <w:r>
              <w:rPr>
                <w:rFonts w:hint="eastAsia"/>
                <w:sz w:val="28"/>
                <w:szCs w:val="28"/>
                <w:vertAlign w:val="baseline"/>
                <w:lang w:val="en-US" w:eastAsia="zh-CN"/>
              </w:rPr>
              <w:t>整改任务</w:t>
            </w:r>
          </w:p>
        </w:tc>
        <w:tc>
          <w:tcPr>
            <w:tcW w:w="6166" w:type="dxa"/>
            <w:noWrap w:val="0"/>
            <w:vAlign w:val="center"/>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对公司运营高速公路每年产生的餐厨垃圾，建立健全收集处理体系，及时规范垃圾收集、处理和管理。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356" w:type="dxa"/>
            <w:noWrap w:val="0"/>
            <w:vAlign w:val="center"/>
          </w:tcPr>
          <w:p>
            <w:pPr>
              <w:jc w:val="center"/>
              <w:rPr>
                <w:rFonts w:hint="default" w:eastAsia="宋体"/>
                <w:sz w:val="28"/>
                <w:szCs w:val="28"/>
                <w:vertAlign w:val="baseline"/>
                <w:lang w:val="en-US" w:eastAsia="zh-CN"/>
              </w:rPr>
            </w:pPr>
            <w:r>
              <w:rPr>
                <w:rFonts w:hint="eastAsia" w:eastAsia="宋体"/>
                <w:sz w:val="28"/>
                <w:szCs w:val="28"/>
                <w:vertAlign w:val="baseline"/>
                <w:lang w:val="en-US" w:eastAsia="zh-CN"/>
              </w:rPr>
              <w:t>整改责任单位</w:t>
            </w:r>
          </w:p>
        </w:tc>
        <w:tc>
          <w:tcPr>
            <w:tcW w:w="6166" w:type="dxa"/>
            <w:noWrap w:val="0"/>
            <w:vAlign w:val="center"/>
          </w:tcPr>
          <w:p>
            <w:pPr>
              <w:jc w:val="center"/>
              <w:rPr>
                <w:rFonts w:hint="default" w:ascii="仿宋_GB2312" w:hAnsi="仿宋_GB2312" w:eastAsia="仿宋_GB2312" w:cs="仿宋_GB2312"/>
                <w:sz w:val="28"/>
                <w:szCs w:val="28"/>
                <w:vertAlign w:val="baseline"/>
                <w:lang w:val="en-US" w:eastAsia="zh-CN"/>
              </w:rPr>
            </w:pPr>
            <w:r>
              <w:rPr>
                <w:rFonts w:eastAsia="仿宋_GB2312"/>
                <w:color w:val="auto"/>
                <w:sz w:val="28"/>
                <w:szCs w:val="28"/>
                <w:lang w:eastAsia="zh-CN"/>
              </w:rPr>
              <w:t>四川</w:t>
            </w:r>
            <w:r>
              <w:rPr>
                <w:rFonts w:hint="eastAsia" w:eastAsia="仿宋_GB2312"/>
                <w:color w:val="auto"/>
                <w:sz w:val="28"/>
                <w:szCs w:val="28"/>
                <w:lang w:val="en-US" w:eastAsia="zh-CN"/>
              </w:rPr>
              <w:t>路桥建设集团股份有限公司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2356" w:type="dxa"/>
            <w:noWrap w:val="0"/>
            <w:vAlign w:val="center"/>
          </w:tcPr>
          <w:p>
            <w:pPr>
              <w:jc w:val="center"/>
              <w:rPr>
                <w:rFonts w:hint="default" w:eastAsia="宋体"/>
                <w:sz w:val="28"/>
                <w:szCs w:val="28"/>
                <w:vertAlign w:val="baseline"/>
                <w:lang w:val="en-US" w:eastAsia="zh-CN"/>
              </w:rPr>
            </w:pPr>
            <w:r>
              <w:rPr>
                <w:rFonts w:hint="eastAsia"/>
                <w:sz w:val="28"/>
                <w:szCs w:val="28"/>
                <w:vertAlign w:val="baseline"/>
                <w:lang w:val="en-US" w:eastAsia="zh-CN"/>
              </w:rPr>
              <w:t>整改目标</w:t>
            </w:r>
          </w:p>
        </w:tc>
        <w:tc>
          <w:tcPr>
            <w:tcW w:w="6166" w:type="dxa"/>
            <w:noWrap w:val="0"/>
            <w:vAlign w:val="center"/>
          </w:tcPr>
          <w:p>
            <w:pPr>
              <w:jc w:val="both"/>
              <w:rPr>
                <w:rFonts w:hint="eastAsia" w:ascii="仿宋_GB2312" w:hAnsi="仿宋_GB2312" w:eastAsia="仿宋_GB2312" w:cs="仿宋_GB2312"/>
                <w:sz w:val="28"/>
                <w:szCs w:val="28"/>
                <w:vertAlign w:val="baseline"/>
                <w:lang w:val="en-US" w:eastAsia="zh-CN"/>
              </w:rPr>
            </w:pPr>
            <w:r>
              <w:rPr>
                <w:rFonts w:hint="eastAsia" w:eastAsia="仿宋_GB2312"/>
                <w:color w:val="auto"/>
                <w:sz w:val="28"/>
                <w:szCs w:val="28"/>
                <w:lang w:val="en-US" w:eastAsia="zh-CN"/>
              </w:rPr>
              <w:t>加强运营高速公路服务区餐厨垃圾收集、清运过程管理，完善餐厨垃圾收集处理体系。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356" w:type="dxa"/>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整改措施</w:t>
            </w:r>
          </w:p>
        </w:tc>
        <w:tc>
          <w:tcPr>
            <w:tcW w:w="6166" w:type="dxa"/>
            <w:noWrap w:val="0"/>
            <w:vAlign w:val="center"/>
          </w:tcPr>
          <w:p>
            <w:pPr>
              <w:numPr>
                <w:ilvl w:val="0"/>
                <w:numId w:val="1"/>
              </w:numPr>
              <w:jc w:val="both"/>
              <w:rPr>
                <w:rFonts w:hint="default" w:eastAsia="仿宋_GB2312"/>
                <w:color w:val="auto"/>
                <w:sz w:val="28"/>
                <w:szCs w:val="28"/>
                <w:lang w:val="en-US" w:eastAsia="zh-CN"/>
              </w:rPr>
            </w:pPr>
            <w:r>
              <w:rPr>
                <w:rFonts w:hint="default" w:eastAsia="仿宋_GB2312"/>
                <w:color w:val="auto"/>
                <w:sz w:val="28"/>
                <w:szCs w:val="28"/>
                <w:lang w:val="en-US" w:eastAsia="zh-CN"/>
              </w:rPr>
              <w:t>2023年7月底前，开展运营高速公路服务区餐厨垃圾处置情况梳理，完成问题整改。</w:t>
            </w:r>
          </w:p>
          <w:p>
            <w:pPr>
              <w:numPr>
                <w:ilvl w:val="0"/>
                <w:numId w:val="1"/>
              </w:numPr>
              <w:jc w:val="both"/>
              <w:rPr>
                <w:rFonts w:hint="default" w:eastAsia="仿宋_GB2312"/>
                <w:color w:val="auto"/>
                <w:sz w:val="28"/>
                <w:szCs w:val="28"/>
                <w:lang w:val="en-US" w:eastAsia="zh-CN"/>
              </w:rPr>
            </w:pPr>
            <w:r>
              <w:rPr>
                <w:rFonts w:hint="default" w:eastAsia="仿宋_GB2312"/>
                <w:color w:val="auto"/>
                <w:sz w:val="28"/>
                <w:szCs w:val="28"/>
                <w:lang w:val="en-US" w:eastAsia="zh-CN"/>
              </w:rPr>
              <w:t>规范设置服务区餐厨垃圾收集点，按照餐厨垃圾产生量，固定清运时间，确保餐厨垃圾清运及时。</w:t>
            </w:r>
          </w:p>
          <w:p>
            <w:pPr>
              <w:numPr>
                <w:ilvl w:val="0"/>
                <w:numId w:val="1"/>
              </w:numPr>
              <w:jc w:val="both"/>
              <w:rPr>
                <w:rFonts w:hint="default" w:eastAsia="仿宋_GB2312"/>
                <w:color w:val="auto"/>
                <w:sz w:val="28"/>
                <w:szCs w:val="28"/>
                <w:lang w:val="en-US" w:eastAsia="zh-CN"/>
              </w:rPr>
            </w:pPr>
            <w:r>
              <w:rPr>
                <w:rFonts w:hint="default" w:eastAsia="仿宋_GB2312"/>
                <w:color w:val="auto"/>
                <w:sz w:val="28"/>
                <w:szCs w:val="28"/>
                <w:lang w:val="en-US" w:eastAsia="zh-CN"/>
              </w:rPr>
              <w:t>与有资质的单位签订合同，规范建立服务区餐厨垃圾收集、清运记录台账，规范餐厨垃圾管理。</w:t>
            </w:r>
          </w:p>
          <w:p>
            <w:pPr>
              <w:numPr>
                <w:ilvl w:val="0"/>
                <w:numId w:val="1"/>
              </w:numPr>
              <w:ind w:left="0" w:leftChars="0" w:firstLine="0" w:firstLineChars="0"/>
              <w:jc w:val="both"/>
              <w:rPr>
                <w:rFonts w:hint="eastAsia" w:eastAsia="仿宋_GB2312"/>
                <w:color w:val="auto"/>
                <w:sz w:val="28"/>
                <w:szCs w:val="28"/>
                <w:lang w:val="en-US" w:eastAsia="zh-CN"/>
              </w:rPr>
            </w:pPr>
            <w:r>
              <w:rPr>
                <w:rFonts w:hint="default" w:eastAsia="仿宋_GB2312"/>
                <w:color w:val="auto"/>
                <w:sz w:val="28"/>
                <w:szCs w:val="28"/>
                <w:lang w:val="en-US" w:eastAsia="zh-CN"/>
              </w:rPr>
              <w:t>将服务区餐厨垃圾收集处置情况列入抽查检查内容。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2356" w:type="dxa"/>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整改主要工作及成效</w:t>
            </w:r>
          </w:p>
        </w:tc>
        <w:tc>
          <w:tcPr>
            <w:tcW w:w="6166" w:type="dxa"/>
            <w:noWrap w:val="0"/>
            <w:vAlign w:val="center"/>
          </w:tcPr>
          <w:p>
            <w:pPr>
              <w:numPr>
                <w:ilvl w:val="0"/>
                <w:numId w:val="2"/>
              </w:num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公司所属高速公路运营公司已开展服务区垃圾处置情况的梳理，并明确服务区生活垃圾分类投放、分类收运和分类处理，全面建立台账，做到有账可查、有责可追、层层管理，持续建立合规化垃圾收集处理机制。</w:t>
            </w:r>
            <w:bookmarkStart w:id="0" w:name="_GoBack"/>
            <w:bookmarkEnd w:id="0"/>
          </w:p>
          <w:p>
            <w:pPr>
              <w:numPr>
                <w:ilvl w:val="0"/>
                <w:numId w:val="2"/>
              </w:numPr>
              <w:jc w:val="both"/>
              <w:rPr>
                <w:rFonts w:hint="default"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US" w:eastAsia="zh-CN"/>
              </w:rPr>
              <w:t>公司所属高速公路运营公司已</w:t>
            </w:r>
            <w:r>
              <w:rPr>
                <w:rFonts w:hint="eastAsia" w:ascii="仿宋_GB2312" w:hAnsi="仿宋_GB2312" w:eastAsia="仿宋_GB2312" w:cs="仿宋_GB2312"/>
                <w:sz w:val="28"/>
                <w:szCs w:val="28"/>
                <w:vertAlign w:val="baseline"/>
                <w:lang w:val="en-US" w:eastAsia="zh-CN"/>
              </w:rPr>
              <w:t>规范设置</w:t>
            </w:r>
            <w:r>
              <w:rPr>
                <w:rFonts w:hint="default" w:ascii="仿宋_GB2312" w:hAnsi="仿宋_GB2312" w:eastAsia="仿宋_GB2312" w:cs="仿宋_GB2312"/>
                <w:sz w:val="28"/>
                <w:szCs w:val="28"/>
                <w:vertAlign w:val="baseline"/>
                <w:lang w:val="en-US" w:eastAsia="zh-CN"/>
              </w:rPr>
              <w:t>服务区生活垃圾分类投放、分类收运和分类处理</w:t>
            </w:r>
            <w:r>
              <w:rPr>
                <w:rFonts w:hint="eastAsia" w:ascii="仿宋_GB2312" w:hAnsi="仿宋_GB2312" w:eastAsia="仿宋_GB2312" w:cs="仿宋_GB2312"/>
                <w:sz w:val="28"/>
                <w:szCs w:val="28"/>
                <w:vertAlign w:val="baseline"/>
                <w:lang w:val="en-US" w:eastAsia="zh-CN"/>
              </w:rPr>
              <w:t>点位</w:t>
            </w:r>
            <w:r>
              <w:rPr>
                <w:rFonts w:hint="default" w:ascii="仿宋_GB2312" w:hAnsi="仿宋_GB2312" w:eastAsia="仿宋_GB2312" w:cs="仿宋_GB2312"/>
                <w:sz w:val="28"/>
                <w:szCs w:val="28"/>
                <w:vertAlign w:val="baseline"/>
                <w:lang w:val="en-US" w:eastAsia="zh-CN"/>
              </w:rPr>
              <w:t>，</w:t>
            </w:r>
            <w:r>
              <w:rPr>
                <w:rFonts w:hint="eastAsia" w:ascii="仿宋_GB2312" w:hAnsi="仿宋_GB2312" w:eastAsia="仿宋_GB2312" w:cs="仿宋_GB2312"/>
                <w:sz w:val="28"/>
                <w:szCs w:val="28"/>
                <w:vertAlign w:val="baseline"/>
                <w:lang w:val="en-US" w:eastAsia="zh-CN"/>
              </w:rPr>
              <w:t>及时进行回收处理</w:t>
            </w:r>
            <w:r>
              <w:rPr>
                <w:rFonts w:hint="default" w:ascii="仿宋_GB2312" w:hAnsi="仿宋_GB2312" w:eastAsia="仿宋_GB2312" w:cs="仿宋_GB2312"/>
                <w:sz w:val="28"/>
                <w:szCs w:val="28"/>
                <w:vertAlign w:val="baseline"/>
                <w:lang w:val="en-US" w:eastAsia="zh-CN"/>
              </w:rPr>
              <w:t>。</w:t>
            </w:r>
          </w:p>
          <w:p>
            <w:pPr>
              <w:numPr>
                <w:ilvl w:val="0"/>
                <w:numId w:val="2"/>
              </w:numPr>
              <w:jc w:val="both"/>
              <w:rPr>
                <w:rFonts w:hint="default"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US" w:eastAsia="zh-CN"/>
              </w:rPr>
              <w:t>公司所属高速公路运营公司已与有资质的单位签订合同，规范建立服务区餐厨垃圾收集、清运记录台账，规范餐厨垃圾管理。</w:t>
            </w:r>
          </w:p>
          <w:p>
            <w:pPr>
              <w:numPr>
                <w:ilvl w:val="0"/>
                <w:numId w:val="2"/>
              </w:numPr>
              <w:jc w:val="both"/>
              <w:rPr>
                <w:rFonts w:hint="default"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US" w:eastAsia="zh-CN"/>
              </w:rPr>
              <w:t>公司所属高速公路运营公司每月开展对公路服务区餐厨垃圾清运问题进行排查整治，并针对未及时处置问题进行排查并落实整改。</w:t>
            </w:r>
          </w:p>
        </w:tc>
      </w:tr>
    </w:tbl>
    <w:p>
      <w:pPr>
        <w:jc w:val="both"/>
        <w:rPr>
          <w:rFonts w:hint="eastAsia" w:ascii="方正小标宋简体" w:hAnsi="方正小标宋简体" w:eastAsia="方正小标宋简体" w:cs="方正小标宋简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ABC6E"/>
    <w:multiLevelType w:val="singleLevel"/>
    <w:tmpl w:val="BB7ABC6E"/>
    <w:lvl w:ilvl="0" w:tentative="0">
      <w:start w:val="1"/>
      <w:numFmt w:val="decimal"/>
      <w:lvlText w:val="%1."/>
      <w:lvlJc w:val="left"/>
      <w:pPr>
        <w:tabs>
          <w:tab w:val="left" w:pos="312"/>
        </w:tabs>
      </w:pPr>
    </w:lvl>
  </w:abstractNum>
  <w:abstractNum w:abstractNumId="1">
    <w:nsid w:val="08279A06"/>
    <w:multiLevelType w:val="singleLevel"/>
    <w:tmpl w:val="08279A06"/>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ODc3ZjAyNDU1ODM5OWQ4ZTM2NTJhMTFkYjIyZWMifQ=="/>
  </w:docVars>
  <w:rsids>
    <w:rsidRoot w:val="66D40DA9"/>
    <w:rsid w:val="0C7513D0"/>
    <w:rsid w:val="0E8C0659"/>
    <w:rsid w:val="18DB73AD"/>
    <w:rsid w:val="19341F4D"/>
    <w:rsid w:val="26C2328E"/>
    <w:rsid w:val="2F92721B"/>
    <w:rsid w:val="3441187A"/>
    <w:rsid w:val="43C0001A"/>
    <w:rsid w:val="48762D0D"/>
    <w:rsid w:val="5A89319F"/>
    <w:rsid w:val="665E6F19"/>
    <w:rsid w:val="66D40DA9"/>
    <w:rsid w:val="67A33D00"/>
    <w:rsid w:val="6CDC1854"/>
    <w:rsid w:val="6F641D53"/>
    <w:rsid w:val="73E056D6"/>
    <w:rsid w:val="7658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428</Words>
  <Characters>446</Characters>
  <Lines>0</Lines>
  <Paragraphs>0</Paragraphs>
  <TotalTime>24</TotalTime>
  <ScaleCrop>false</ScaleCrop>
  <LinksUpToDate>false</LinksUpToDate>
  <CharactersWithSpaces>446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2023-07-06T07:10:00Z</dcterms:created>
  <dc:creator>呆。</dc:creator>
  <cp:lastModifiedBy>呆。</cp:lastModifiedBy>
  <cp:lastPrinted>2023-10-12T07:55:52Z</cp:lastPrinted>
  <dcterms:modified xsi:type="dcterms:W3CDTF">2023-10-12T08:06:02Z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CA2FA58A44B647DDB3F24F0FB68349E5_11</vt:lpwstr>
  </property>
</Properties>
</file>